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8506" w:leader="none"/>
        </w:tabs>
        <w:jc w:val="right"/>
        <w:rPr>
          <w:rFonts w:ascii="Times New Roman" w:hAnsi="Times New Roman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Приложение № 1 Опросный лист на ОРУ 35 кВ для ПС 35/10 кВ Пляжная</w:t>
      </w:r>
    </w:p>
    <w:tbl>
      <w:tblPr>
        <w:tblW w:w="14490" w:type="dxa"/>
        <w:jc w:val="left"/>
        <w:tblInd w:w="0" w:type="dxa"/>
        <w:tblLayout w:type="fixed"/>
        <w:tblCellMar>
          <w:top w:w="0" w:type="dxa"/>
          <w:left w:w="7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56"/>
        <w:gridCol w:w="5967"/>
        <w:gridCol w:w="3828"/>
        <w:gridCol w:w="3938"/>
      </w:tblGrid>
      <w:tr>
        <w:trPr>
          <w:trHeight w:val="330" w:hRule="atLeas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5967" w:type="dxa"/>
            <w:tcBorders>
              <w:top w:val="single" w:sz="8" w:space="0" w:color="000001"/>
              <w:left w:val="single" w:sz="8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Технические требования для ПС</w:t>
            </w:r>
          </w:p>
        </w:tc>
        <w:tc>
          <w:tcPr>
            <w:tcW w:w="3828" w:type="dxa"/>
            <w:tcBorders>
              <w:top w:val="single" w:sz="8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Требования Заказчика</w:t>
            </w:r>
          </w:p>
        </w:tc>
        <w:tc>
          <w:tcPr>
            <w:tcW w:w="3938" w:type="dxa"/>
            <w:tcBorders>
              <w:top w:val="single" w:sz="8" w:space="0" w:color="000001"/>
              <w:left w:val="single" w:sz="4" w:space="0" w:color="000001"/>
              <w:right w:val="single" w:sz="8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Предложение Участника</w:t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2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6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ОРУ 35 кВ для ПС 35/10 кВ Пляжная</w:t>
            </w:r>
          </w:p>
        </w:tc>
        <w:tc>
          <w:tcPr>
            <w:tcW w:w="393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7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Изготовитель:</w:t>
            </w:r>
          </w:p>
        </w:tc>
        <w:tc>
          <w:tcPr>
            <w:tcW w:w="382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3938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Схема главных электрических соединений РУ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35-3Н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Номинальное напряжение обмотки ВН,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vMerge w:val="restart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Номинальное рабочее обмотки НН (указать 6-10):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vMerge w:val="continue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- 6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vMerge w:val="continue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- 10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Параметры выключателей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 выключателей 35 кВ, шт.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983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Тип выключателя</w:t>
            </w:r>
          </w:p>
        </w:tc>
        <w:tc>
          <w:tcPr>
            <w:tcW w:w="382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Вакуумный выключатель наружной установки с электромагнитным приводом и системой измерений с   размещением системы оперативного тока в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шкафу управления выключателем.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Номинальный ток, не менее, 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Номинальный ток отключения, не менее, кА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Механический ресурс, не менее, циклов ВО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Ток электродинамической стойкости, не менее, кА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Ток термической стойкости (в течение 3с), не менее, кА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Ресурс по коммутационной стойкости, не менее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 номинальном токе, циклов ВО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при номинальном токе отключения, циклов ВО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20000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Собственное время включения, не более, мс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Собственное время отключения, не более, мс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Испытательное напряжение грозового импульса, не менее,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Испытательное пятиминутное напряжение промышленной частоты, не менее,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Цикл АПВ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 - 180 с - ВО - 180 с - ВО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Климатическое исполнение и категория размещения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УХЛ 1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Верхнее/нижнее рабочее значение температуры окружающего воздуха, °С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+40 / -60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Степень защиты корпуса коммутационного модуля, не ниже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IP 54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Верхнее значение относительной влажности воздуха при температуре 25 °С, не менее, %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Максимально допустимое значение скорости ветра в условиях отсутствия гололеда, не менее, м/с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.19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Максимально допустимое значение скорости ветра в условиях обледенения проводов (толщина корки – 20 мм), не менее, м/с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Наибольшая высота эксплуатации над уровнем моря, не менее, м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.21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Стойкость к внешним механическим факторам по ГОСТ 17516.1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М6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.22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Масса (коммутационный модуль/шкаф управления),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коммутационного модуля, кг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•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шкафа управления, кг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*</w:t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.23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Срок службы, не менее, лет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.24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Срок службы аккумуляторной батареи при 25°С, не менее, лет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.25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Коммутационное оборудование не должно требовать проведения плановых ремонтов на протяжении всего срока эксплуатации, да/нет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.26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Аккумуляторная батарея</w:t>
            </w: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 располагается в шкафу управления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Тип разъединителя и тип привода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РГП-2-35/1000-20 с ручным приводом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Тип ошиновки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АСКС-70/11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Способ подключения к сети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ОПН 35 кВ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Трансформатор напряжения 35 кВ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 (НАЛИ-НТЗ-35-IV УХЛ1)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Трансформаторы тока 35 кВ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00000A"/>
                <w:kern w:val="0"/>
                <w:sz w:val="24"/>
                <w:szCs w:val="24"/>
                <w:lang w:val="ru-RU" w:eastAsia="ru-RU" w:bidi="ar-SA"/>
              </w:rPr>
              <w:t xml:space="preserve"> (ТОЛ-НТЗ-35-IV 11 УХЛ1)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Организация цепей напряжения РЗА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Трансформаторы напряжения 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Организация токовых цепей РЗА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Трансформаторы тока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Наличие источника гарантированного оперативного питания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Индивидуальные аккумуляторные батареи в шкафу управления высокоавтоматизированных вакуумных выключателей наружной установки 35 и 10(6) кВ 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Способ прокладки вторичных кабелей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Металлические кабельные лотки, гофротрубы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Кол-во прожекторов, номинальная мощность, Вт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х 120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Ограждение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Просматриваемое сетчатое ограждение с Егозой с закладными элементами на основании типа фундамента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Молниезащита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Стержневой молниеотвод типа МСАП с  креплением на винтовую сваю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Контур заземления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Комплект контура заземления сопротивлением не более 4 Ом для грунтов с удельным сопротивлением до 200 Ом*м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restart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Тип фундамента ограждения (указан справочно для закладных ограждения)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continue"/>
            <w:tcBorders>
              <w:left w:val="single" w:sz="8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Монолитный фундамент ограждения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continue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Фундамент ограждения из винтовых свай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Тип покрытия металлоконструкций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Горячее цинкование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restart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Учет электроэнергии (указать)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continue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 xml:space="preserve">Применить средства измерения электроэнергии, имеющие свидетельство о регистрации в системе Аршин,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классом не ниже 0,5S потоку, и не ниже 0,5 по напряжению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Счетчик НАРТИС-И300-W133-2-A5SR1-57-5-10A-TN-RS485-P1-EHLMOQ1V3Z/1-D в комплекте: Сменный модуль связи НАРТИС-МР-М3.3-NB2G-SC (или его эквивалент) - 2 шт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vMerge w:val="continue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65" w:leader="none"/>
                <w:tab w:val="left" w:pos="993" w:leader="none"/>
              </w:tabs>
              <w:spacing w:lineRule="exact" w:line="274" w:before="0" w:after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Организация канала передачи данных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565" w:leader="none"/>
                <w:tab w:val="left" w:pos="993" w:leader="none"/>
              </w:tabs>
              <w:spacing w:lineRule="exact" w:line="274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 цифровой облачной платформы энергоданных ПАО «РусГидро» с применением GSM/GPRS технологии и обеспечением физического разделения с технологическим сегментом сети (телемеханика, связь, РЗАиПА)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Система АСУ ТП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Предусмотреть устройство ТМ, предусмотреть передачу данных с каждого вакуумного выключателя в устройство ТМ, организовать выдачу телеметрической информации в ОИК соответствующего ДП по двум оптическим каналам. Обеспечить дистанционный мониторинг оборудования СДТУ.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43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Вид обслуживания ПС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Без постоянного присутствия персонала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1020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Эксплуатационные документы в соответствии с ГОСТ 2.601-2019 ( руководство по эксплуатации, формуляр или паспорт, инструкция по монтажу, ведомость ЗИП, этикетка) количество экземпляров, шт.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756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67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Дополнительные требования: (включить в комплект поставки):</w:t>
            </w:r>
          </w:p>
        </w:tc>
        <w:tc>
          <w:tcPr>
            <w:tcW w:w="3828" w:type="dxa"/>
            <w:tcBorders>
              <w:left w:val="single" w:sz="8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938" w:type="dxa"/>
            <w:tcBorders>
              <w:left w:val="single" w:sz="8" w:space="0" w:color="000001"/>
              <w:bottom w:val="single" w:sz="4" w:space="0" w:color="000001"/>
              <w:right w:val="single" w:sz="8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Примечания: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</w:rPr>
      </w:pPr>
      <w:r>
        <w:rPr>
          <w:rFonts w:cs="Times New Roman" w:ascii="Times New Roman" w:hAnsi="Times New Roman"/>
          <w:sz w:val="24"/>
          <w:szCs w:val="24"/>
        </w:rPr>
        <w:t>1. Параметры, отмеченные *, должны быть представлены/указаны Участником (конкретным параметром).</w:t>
      </w:r>
    </w:p>
    <w:sectPr>
      <w:type w:val="nextPage"/>
      <w:pgSz w:orient="landscape" w:w="16838" w:h="11906"/>
      <w:pgMar w:left="1134" w:right="138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745e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75571b"/>
    <w:rPr>
      <w:rFonts w:ascii="Segoe UI" w:hAnsi="Segoe UI" w:cs="Segoe UI"/>
      <w:sz w:val="18"/>
      <w:szCs w:val="18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37c4c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uiPriority w:val="99"/>
    <w:semiHidden/>
    <w:qFormat/>
    <w:rsid w:val="00437c4c"/>
    <w:rPr>
      <w:rFonts w:ascii="Calibri" w:hAnsi="Calibri" w:eastAsia="Calibri"/>
      <w:color w:val="00000A"/>
      <w:szCs w:val="20"/>
    </w:rPr>
  </w:style>
  <w:style w:type="character" w:styleId="Style11" w:customStyle="1">
    <w:name w:val="Тема примечания Знак"/>
    <w:basedOn w:val="Style10"/>
    <w:link w:val="Annotationsubject"/>
    <w:uiPriority w:val="99"/>
    <w:semiHidden/>
    <w:qFormat/>
    <w:rsid w:val="00437c4c"/>
    <w:rPr>
      <w:rFonts w:ascii="Calibri" w:hAnsi="Calibri" w:eastAsia="Calibri"/>
      <w:b/>
      <w:bCs/>
      <w:color w:val="00000A"/>
      <w:szCs w:val="20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" w:customStyle="1">
    <w:name w:val="caption11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1111" w:customStyle="1">
    <w:name w:val="caption11111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ption1111111" w:customStyle="1">
    <w:name w:val="caption111111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alloonText">
    <w:name w:val="Balloon Text"/>
    <w:basedOn w:val="Normal"/>
    <w:link w:val="Style9"/>
    <w:uiPriority w:val="99"/>
    <w:semiHidden/>
    <w:unhideWhenUsed/>
    <w:qFormat/>
    <w:rsid w:val="0075571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437c4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Annotationtext">
    <w:name w:val="annotation text"/>
    <w:basedOn w:val="Normal"/>
    <w:link w:val="Style10"/>
    <w:uiPriority w:val="99"/>
    <w:semiHidden/>
    <w:unhideWhenUsed/>
    <w:qFormat/>
    <w:rsid w:val="00437c4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Style11"/>
    <w:uiPriority w:val="99"/>
    <w:semiHidden/>
    <w:unhideWhenUsed/>
    <w:qFormat/>
    <w:rsid w:val="00437c4c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CB7D4-CAC4-4AA7-80B4-72684E946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Application>AlterOffice/2026.2.0.0$Linux_X86_64 LibreOffice_project/bc4ef1adf80b36c7a6365f8ed6cbf29021361edd</Application>
  <AppVersion>15.0000</AppVersion>
  <Pages>5</Pages>
  <Words>685</Words>
  <Characters>4211</Characters>
  <CharactersWithSpaces>4724</CharactersWithSpaces>
  <Paragraphs>179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2024-03-22T01:57:00Z</dcterms:created>
  <dc:creator/>
  <dc:description/>
  <dc:language>ru-RU</dc:language>
  <cp:lastModifiedBy>zolotar_vv</cp:lastModifiedBy>
  <dcterms:modified xsi:type="dcterms:W3CDTF">2026-08-12T09:54:10Z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